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keepLines w:val="false"/>
        <w:spacing w:after="0" w:before="0" w:line="240" w:lineRule="auto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Дентадокс</w:t>
      </w:r>
    </w:p>
    <w:p>
      <w:pPr>
        <w:keepNext w:val="false"/>
        <w:keepLines w:val="false"/>
        <w:spacing w:after="0" w:before="0" w:line="240" w:lineRule="auto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Информационная памятка для стоматологических клиник</w:t>
      </w:r>
    </w:p>
    <w:p>
      <w:pPr>
        <w:keepNext w:val="false"/>
        <w:keepLines w:val="false"/>
        <w:pBdr>
          <w:bottom w:val="single" w:color="000000" w:sz="6" w:space="4"/>
        </w:pBdr>
        <w:spacing w:after="200" w:before="0" w:line="240" w:lineRule="auto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dentadocs.ru</w:t>
      </w:r>
    </w:p>
    <w:p>
      <w:pPr>
        <w:keepNext/>
        <w:keepLines w:val="false"/>
        <w:spacing w:after="0" w:before="0" w:line="240" w:lineRule="auto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ПАМЯТКА</w:t>
      </w:r>
    </w:p>
    <w:p>
      <w:pPr>
        <w:keepNext/>
        <w:keepLines w:val="false"/>
        <w:spacing w:after="60" w:before="0" w:line="240" w:lineRule="auto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об экологических обязанностях стоматологической организации</w:t>
      </w:r>
    </w:p>
    <w:p>
      <w:pPr>
        <w:keepNext w:val="false"/>
        <w:keepLines w:val="false"/>
        <w:spacing w:after="160" w:before="0" w:line="240" w:lineRule="auto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Справочный документ. Утверждению приказом не подлежит, ознакомление работников не требуется.</w:t>
      </w:r>
    </w:p>
    <w:p>
      <w:pPr>
        <w:pStyle w:val="ListParagraph"/>
        <w:keepNext/>
        <w:keepLines w:val="false"/>
        <w:numPr>
          <w:ilvl w:val="0"/>
          <w:numId w:val="2"/>
        </w:numPr>
        <w:spacing w:after="60" w:before="120" w:line="240" w:lineRule="auto"/>
        <w:ind w:firstLine="709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Зачем эта памятка</w:t>
      </w:r>
    </w:p>
    <w:p>
      <w:pPr>
        <w:pStyle w:val="ListParagraph"/>
        <w:keepNext w:val="false"/>
        <w:keepLines w:val="false"/>
        <w:numPr>
          <w:ilvl w:val="1"/>
          <w:numId w:val="2"/>
        </w:numPr>
        <w:spacing w:after="60" w:before="0" w:line="240" w:lineRule="auto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Комплект документов, в состав которого входит настоящая памятка, охватывает охрану труда, пожарную и электробезопасность, санитарно-эпидемиологический режим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радиационную безопасность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гражданскую оборону и защиту от чрезвычайных ситуаций.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Экологическая документация и отчетность в состав комплекта не входят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— это отдельная область регулирования (Федеральные законы № 7-ФЗ и № 89-ФЗ), свои надзорный орган (Росприроднадзор), сроки и формы отчетности.</w:t>
      </w:r>
    </w:p>
    <w:p>
      <w:pPr>
        <w:pStyle w:val="ListParagraph"/>
        <w:keepNext w:val="false"/>
        <w:keepLines w:val="false"/>
        <w:numPr>
          <w:ilvl w:val="1"/>
          <w:numId w:val="2"/>
        </w:numPr>
        <w:spacing w:after="60" w:before="0" w:line="240" w:lineRule="auto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Памятка нужна, чтобы клиника понимала, какие экологические обязанности у нее есть помимо санитарно-эпидемиологических требований к медицинским отходам, и не получила штраф по статьям 8.1, 8.2, 8.5 и 8.41 Кодекса Российской Федерации об административных правонарушениях. Размеры административных штрафов для юридических лиц по этим статьям — от нескольких десятков до нескольких сотен тысяч рублей, а по части 10 статьи 8.2 предусмотрено и административное приостановление деятельности.</w:t>
      </w:r>
    </w:p>
    <w:p>
      <w:pPr>
        <w:pStyle w:val="ListParagraph"/>
        <w:keepNext w:val="false"/>
        <w:keepLines w:val="false"/>
        <w:numPr>
          <w:ilvl w:val="1"/>
          <w:numId w:val="2"/>
        </w:numPr>
        <w:spacing w:after="60" w:before="0" w:line="240" w:lineRule="auto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Обращение с медицинскими отходами внутри клиники (сбор, обеззараживание, временное хранение, учет в технологическом журнале) регулируется санитарным законодательством и описано в документах раздела «Санитарно-эпидемиологический режим». Экологические обязанности возникают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на выходе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: при передаче отходов сторонним организациям, при постановке объекта на учет и при отчетности.</w:t>
      </w:r>
    </w:p>
    <w:p>
      <w:pPr>
        <w:pStyle w:val="ListParagraph"/>
        <w:keepNext/>
        <w:keepLines w:val="false"/>
        <w:numPr>
          <w:ilvl w:val="0"/>
          <w:numId w:val="2"/>
        </w:numPr>
        <w:spacing w:after="60" w:before="120" w:line="240" w:lineRule="auto"/>
        <w:ind w:firstLine="709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Важно: с 1 сентября 2026 года изменились правила обращения с медицинскими отходами</w:t>
      </w:r>
    </w:p>
    <w:p>
      <w:pPr>
        <w:pStyle w:val="ListParagraph"/>
        <w:keepNext w:val="false"/>
        <w:keepLines w:val="false"/>
        <w:numPr>
          <w:ilvl w:val="1"/>
          <w:numId w:val="2"/>
        </w:numPr>
        <w:spacing w:after="60" w:before="0" w:line="240" w:lineRule="auto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Федеральным законом от 08.08.2024 № 306-ФЗ в Федеральный закон от 30.03.1999 № 52-ФЗ введена статья 22.1 «Особенности обращения с медицинскими отходами». Положения в отношении отходов классов Б, В и Г применяются с 01.09.2026. Основные изменения, которые нужно учесть клинике:</w:t>
      </w:r>
    </w:p>
    <w:p>
      <w:pPr>
        <w:pStyle w:val="ListParagraph"/>
        <w:keepNext w:val="false"/>
        <w:keepLines w:val="false"/>
        <w:numPr>
          <w:ilvl w:val="0"/>
          <w:numId w:val="3"/>
        </w:numPr>
        <w:spacing w:after="60" w:before="0" w:line="240" w:lineRule="auto"/>
        <w:ind w:lef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отходы класса А удаляются в порядке, установленном для твердых коммунальных отходов, — через регионального оператора;</w:t>
      </w:r>
    </w:p>
    <w:p>
      <w:pPr>
        <w:pStyle w:val="ListParagraph"/>
        <w:keepNext w:val="false"/>
        <w:keepLines w:val="false"/>
        <w:numPr>
          <w:ilvl w:val="0"/>
          <w:numId w:val="3"/>
        </w:numPr>
        <w:spacing w:after="60" w:before="0" w:line="240" w:lineRule="auto"/>
        <w:ind w:lef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отходы классов Б, В и Г подлежат обеззараживанию в соответствии с санитарными правилами; отходы класса В обеззараживаются в месте их образования до транспортирования;</w:t>
      </w:r>
    </w:p>
    <w:p>
      <w:pPr>
        <w:pStyle w:val="ListParagraph"/>
        <w:keepNext w:val="false"/>
        <w:keepLines w:val="false"/>
        <w:numPr>
          <w:ilvl w:val="0"/>
          <w:numId w:val="3"/>
        </w:numPr>
        <w:spacing w:after="60" w:before="0" w:line="240" w:lineRule="auto"/>
        <w:ind w:lef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отходы класса Г, аналогичные по составу чрезвычайно опасным, и радиоактивные отходы класса Д передаются федеральным операторам;</w:t>
      </w:r>
    </w:p>
    <w:p>
      <w:pPr>
        <w:pStyle w:val="ListParagraph"/>
        <w:keepNext w:val="false"/>
        <w:keepLines w:val="false"/>
        <w:numPr>
          <w:ilvl w:val="0"/>
          <w:numId w:val="3"/>
        </w:numPr>
        <w:spacing w:after="60" w:before="0" w:line="240" w:lineRule="auto"/>
        <w:ind w:lef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на обеззараженные отходы, передаваемые как отходы производства и потребления, оформляются паспорта в порядке, установленном Федеральным законом № 89-ФЗ;</w:t>
      </w:r>
    </w:p>
    <w:p>
      <w:pPr>
        <w:pStyle w:val="ListParagraph"/>
        <w:keepNext w:val="false"/>
        <w:keepLines w:val="false"/>
        <w:numPr>
          <w:ilvl w:val="0"/>
          <w:numId w:val="3"/>
        </w:numPr>
        <w:spacing w:after="60" w:before="0" w:line="240" w:lineRule="auto"/>
        <w:ind w:lef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клиника должна обеспечить учет количества образующихся и передаваемых отходов и наличие средств измерения их массы (объема);</w:t>
      </w:r>
    </w:p>
    <w:p>
      <w:pPr>
        <w:pStyle w:val="ListParagraph"/>
        <w:keepNext w:val="false"/>
        <w:keepLines w:val="false"/>
        <w:numPr>
          <w:ilvl w:val="0"/>
          <w:numId w:val="3"/>
        </w:numPr>
        <w:spacing w:after="60" w:before="0" w:line="240" w:lineRule="auto"/>
        <w:ind w:lef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сведения учета передаются в органы, осуществляющие федеральный государственный санитарно-эпидемиологический надзор, в порядке, устанавливаемом Правительством Российской Федерации.</w:t>
      </w:r>
    </w:p>
    <w:p>
      <w:pPr>
        <w:pStyle w:val="ListParagraph"/>
        <w:keepNext w:val="false"/>
        <w:keepLines w:val="false"/>
        <w:numPr>
          <w:ilvl w:val="1"/>
          <w:numId w:val="2"/>
        </w:numPr>
        <w:spacing w:after="60" w:before="0" w:line="240" w:lineRule="auto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Подзаконные акты, детализирующие требования статьи 22.1 (порядок транспортирования, требования к оборудованию для обеззараживания, порядок передачи сведений), принимаются поэтапно. Состав договоров и порядок учета следует сверить с действующими на момент применения актами.</w:t>
      </w:r>
    </w:p>
    <w:p>
      <w:pPr>
        <w:sectPr>
          <w:footerReference w:type="default" r:id="rId7"/>
          <w:pgSz w:w="11906" w:h="16838" w:orient="portrait"/>
          <w:pgMar w:top="1134" w:right="850" w:bottom="1134" w:left="1418" w:header="708" w:footer="708" w:gutter="0"/>
          <w:pgNumType/>
          <w:docGrid w:linePitch="360"/>
        </w:sectPr>
      </w:pPr>
    </w:p>
    <w:p>
      <w:pPr>
        <w:pStyle w:val="ListParagraph"/>
        <w:keepNext/>
        <w:keepLines w:val="false"/>
        <w:numPr>
          <w:ilvl w:val="0"/>
          <w:numId w:val="2"/>
        </w:numPr>
        <w:spacing w:after="60" w:before="120" w:line="240" w:lineRule="auto"/>
        <w:ind w:firstLine="709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Что проверить в клинике: экологические обязанности</w:t>
      </w:r>
    </w:p>
    <w:tbl>
      <w:tblPr>
        <w:tblW w:type="dxa" w:w="1457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3600"/>
        <w:gridCol w:w="3600"/>
        <w:gridCol w:w="7370"/>
      </w:tblGrid>
      <w:tr>
        <w:trPr>
          <w:cantSplit/>
          <w:tblHeader/>
        </w:trPr>
        <w:tc>
          <w:tcPr>
            <w:tcW w:type="dxa" w:w="3600"/>
            <w:shd w:fill="F2F2F2" w:color="auto" w:val="clear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keepNext w:val="false"/>
              <w:spacing w:after="0" w:before="0" w:line="24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Обязанность</w:t>
            </w:r>
          </w:p>
        </w:tc>
        <w:tc>
          <w:tcPr>
            <w:tcW w:type="dxa" w:w="3600"/>
            <w:shd w:fill="F2F2F2" w:color="auto" w:val="clear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keepNext w:val="false"/>
              <w:spacing w:after="0" w:before="0" w:line="24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Основание</w:t>
            </w:r>
          </w:p>
        </w:tc>
        <w:tc>
          <w:tcPr>
            <w:tcW w:type="dxa" w:w="7370"/>
            <w:shd w:fill="F2F2F2" w:color="auto" w:val="clear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keepNext w:val="false"/>
              <w:spacing w:after="0" w:before="0" w:line="24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Что учесть</w:t>
            </w:r>
          </w:p>
        </w:tc>
      </w:tr>
      <w:tr>
        <w:trPr>
          <w:cantSplit w:val="false"/>
          <w:tblHeader w:val="false"/>
        </w:trPr>
        <w:tc>
          <w:tcPr>
            <w:tcW w:type="dxa" w:w="3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Постановка на государственный учет объекта, оказывающего негативное воздействие на окружающую среду (НВОС)</w:t>
            </w:r>
          </w:p>
        </w:tc>
        <w:tc>
          <w:tcPr>
            <w:tcW w:type="dxa" w:w="3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Статья 69.2 Федерального закона от 10.01.2002 № 7-ФЗ; критерии — постановление Правительства Российской Федерации от 31.12.2020 № 2398</w:t>
            </w:r>
          </w:p>
        </w:tc>
        <w:tc>
          <w:tcPr>
            <w:tcW w:type="dxa" w:w="737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Заявка подается в течение 6 месяцев со дня начала деятельности. Стоматологическая клиника, как правило, относится к IV категории либо не подлежит постановке на учет — категория определяется по фактическим источникам воздействия (наличие вентиляционных выбросов, зуботехнической лаборатории, автоклавов, аварийного дизель-генератора). При изменении сведений требуется актуализация.</w:t>
            </w:r>
          </w:p>
        </w:tc>
      </w:tr>
      <w:tr>
        <w:trPr>
          <w:cantSplit w:val="false"/>
          <w:tblHeader w:val="false"/>
        </w:trPr>
        <w:tc>
          <w:tcPr>
            <w:tcW w:type="dxa" w:w="3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Договор с региональным оператором по обращению с твердыми коммунальными отходами</w:t>
            </w:r>
          </w:p>
        </w:tc>
        <w:tc>
          <w:tcPr>
            <w:tcW w:type="dxa" w:w="3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Статья 24.7 Федерального закона от 24.06.1998 № 89-ФЗ</w:t>
            </w:r>
          </w:p>
        </w:tc>
        <w:tc>
          <w:tcPr>
            <w:tcW w:type="dxa" w:w="737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Обязателен. Отходы класса А после 01.09.2026 удаляются в порядке, установленном для твердых коммунальных отходов.</w:t>
            </w:r>
          </w:p>
        </w:tc>
      </w:tr>
      <w:tr>
        <w:trPr>
          <w:cantSplit w:val="false"/>
          <w:tblHeader w:val="false"/>
        </w:trPr>
        <w:tc>
          <w:tcPr>
            <w:tcW w:type="dxa" w:w="3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Передача отходов класса Б специализированной организации</w:t>
            </w:r>
          </w:p>
        </w:tc>
        <w:tc>
          <w:tcPr>
            <w:tcW w:type="dxa" w:w="3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Статья 22.1 Федерального закона от 30.03.1999 № 52-ФЗ; СанПиН 2.1.3684-21</w:t>
            </w:r>
          </w:p>
        </w:tc>
        <w:tc>
          <w:tcPr>
            <w:tcW w:type="dxa" w:w="737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Договор с организацией, имеющей лицензию на деятельность по обращению с отходами соответствующего класса опасности. Требуется учет количества передаваемых отходов и наличие средств измерения массы (объема).</w:t>
            </w:r>
          </w:p>
        </w:tc>
      </w:tr>
      <w:tr>
        <w:trPr>
          <w:cantSplit w:val="false"/>
          <w:tblHeader w:val="false"/>
        </w:trPr>
        <w:tc>
          <w:tcPr>
            <w:tcW w:type="dxa" w:w="3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Передача ртутьсодержащих отходов (в том числе бактерицидных ламп) федеральному оператору</w:t>
            </w:r>
          </w:p>
        </w:tc>
        <w:tc>
          <w:tcPr>
            <w:tcW w:type="dxa" w:w="3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Федеральный закон от 24.06.1998 № 89-ФЗ; работа во ФГИС ОПВК</w:t>
            </w:r>
          </w:p>
        </w:tc>
        <w:tc>
          <w:tcPr>
            <w:tcW w:type="dxa" w:w="737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Отходы I и II классов опасности передаются федеральному оператору (ФГУП «ФЭО») через федеральную государственную информационную систему учета и контроля за обращением с отходами I и II классов опасности. Требуется регистрация в системе и подача заявок.</w:t>
            </w:r>
          </w:p>
        </w:tc>
      </w:tr>
      <w:tr>
        <w:trPr>
          <w:cantSplit w:val="false"/>
          <w:tblHeader w:val="false"/>
        </w:trPr>
        <w:tc>
          <w:tcPr>
            <w:tcW w:type="dxa" w:w="3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Паспортизация отходов I–IV классов опасности</w:t>
            </w:r>
          </w:p>
        </w:tc>
        <w:tc>
          <w:tcPr>
            <w:tcW w:type="dxa" w:w="3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Статья 14 Федерального закона от 24.06.1998 № 89-ФЗ; приказ Минприроды России от 08.12.2020 № 1026</w:t>
            </w:r>
          </w:p>
        </w:tc>
        <w:tc>
          <w:tcPr>
            <w:tcW w:type="dxa" w:w="737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Паспорта составляются на отходы, включенные в федеральный классификационный каталог отходов. Медицинские отходы классов Б и В паспортизации по 89-ФЗ не подлежат; на обеззараженные отходы, передаваемые как отходы производства и потребления, паспорт требуется.</w:t>
            </w:r>
          </w:p>
        </w:tc>
      </w:tr>
      <w:tr>
        <w:trPr>
          <w:cantSplit w:val="false"/>
          <w:tblHeader w:val="false"/>
        </w:trPr>
        <w:tc>
          <w:tcPr>
            <w:tcW w:type="dxa" w:w="3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Учет в области обращения с отходами</w:t>
            </w:r>
          </w:p>
        </w:tc>
        <w:tc>
          <w:tcPr>
            <w:tcW w:type="dxa" w:w="3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Статья 19 Федерального закона от 24.06.1998 № 89-ФЗ; приказ Минприроды России от 08.12.2020 № 1028</w:t>
            </w:r>
          </w:p>
        </w:tc>
        <w:tc>
          <w:tcPr>
            <w:tcW w:type="dxa" w:w="737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Журнал учета образовавшихся, переданных и размещенных отходов ведется по каждому виду отходов; данные учета — основание для отчетности. Ведется отдельно от технологического журнала учета медицинских отходов.</w:t>
            </w:r>
          </w:p>
        </w:tc>
      </w:tr>
      <w:tr>
        <w:trPr>
          <w:cantSplit w:val="false"/>
          <w:tblHeader w:val="false"/>
        </w:trPr>
        <w:tc>
          <w:tcPr>
            <w:tcW w:type="dxa" w:w="3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Отчетность по отходам</w:t>
            </w:r>
          </w:p>
        </w:tc>
        <w:tc>
          <w:tcPr>
            <w:tcW w:type="dxa" w:w="3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Приказ Минприроды России от 08.12.2020 № 1029 (отчет субъектов малого и среднего предпринимательства); форма 2-ТП (отходы)</w:t>
            </w:r>
          </w:p>
        </w:tc>
        <w:tc>
          <w:tcPr>
            <w:tcW w:type="dxa" w:w="737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Субъекты малого и среднего предпринимательства представляют отчет об образовании, использовании, обезвреживании и о размещении отходов; остальные — форму 2-ТП (отходы). Срок — до 15 января года, следующего за отчетным (уточняется по действующей редакции акта).</w:t>
            </w:r>
          </w:p>
        </w:tc>
      </w:tr>
      <w:tr>
        <w:trPr>
          <w:cantSplit w:val="false"/>
          <w:tblHeader w:val="false"/>
        </w:trPr>
        <w:tc>
          <w:tcPr>
            <w:tcW w:type="dxa" w:w="3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Декларация о плате за негативное воздействие на окружающую среду</w:t>
            </w:r>
          </w:p>
        </w:tc>
        <w:tc>
          <w:tcPr>
            <w:tcW w:type="dxa" w:w="3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Статья 16.4 Федерального закона от 10.01.2002 № 7-ФЗ</w:t>
            </w:r>
          </w:p>
        </w:tc>
        <w:tc>
          <w:tcPr>
            <w:tcW w:type="dxa" w:w="737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Объекты IV категории от платы за негативное воздействие освобождены; при отнесении объекта к I–III категории декларация представляется до 10 марта года, следующего за отчетным.</w:t>
            </w:r>
          </w:p>
        </w:tc>
      </w:tr>
      <w:tr>
        <w:trPr>
          <w:cantSplit w:val="false"/>
          <w:tblHeader w:val="false"/>
        </w:trPr>
        <w:tc>
          <w:tcPr>
            <w:tcW w:type="dxa" w:w="3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Производственный экологический контроль (ПЭК)</w:t>
            </w:r>
          </w:p>
        </w:tc>
        <w:tc>
          <w:tcPr>
            <w:tcW w:type="dxa" w:w="3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Статья 67 Федерального закона от 10.01.2002 № 7-ФЗ</w:t>
            </w:r>
          </w:p>
        </w:tc>
        <w:tc>
          <w:tcPr>
            <w:tcW w:type="dxa" w:w="737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Программа ПЭК и отчет о ее выполнении обязательны для объектов I–III категорий. Для объектов IV категории не требуются.</w:t>
            </w:r>
          </w:p>
        </w:tc>
      </w:tr>
      <w:tr>
        <w:trPr>
          <w:cantSplit w:val="false"/>
          <w:tblHeader w:val="false"/>
        </w:trPr>
        <w:tc>
          <w:tcPr>
            <w:tcW w:type="dxa" w:w="3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Расширенная ответственность производителей (РОП) и экологический сбор</w:t>
            </w:r>
          </w:p>
        </w:tc>
        <w:tc>
          <w:tcPr>
            <w:tcW w:type="dxa" w:w="3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Глава V.1 Федерального закона от 24.06.1998 № 89-ФЗ</w:t>
            </w:r>
          </w:p>
        </w:tc>
        <w:tc>
          <w:tcPr>
            <w:tcW w:type="dxa" w:w="737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Возникает, если клиника ввозит в Российскую Федерацию или производит товары и упаковку, включенные в перечень (например, при импорте расходных материалов или оборудования в упаковке). Требуется отчетность и уплата экологического сбора либо выполнение нормативов утилизации.</w:t>
            </w:r>
          </w:p>
        </w:tc>
      </w:tr>
      <w:tr>
        <w:trPr>
          <w:cantSplit w:val="false"/>
          <w:tblHeader w:val="false"/>
        </w:trPr>
        <w:tc>
          <w:tcPr>
            <w:tcW w:type="dxa" w:w="3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Форма 2-Медотходы</w:t>
            </w:r>
          </w:p>
        </w:tc>
        <w:tc>
          <w:tcPr>
            <w:tcW w:type="dxa" w:w="3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Федеральное статистическое наблюдение</w:t>
            </w:r>
          </w:p>
        </w:tc>
        <w:tc>
          <w:tcPr>
            <w:tcW w:type="dxa" w:w="737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Представляется медицинскими организациями в установленные сроки при наличии обязанности по действующему указанию Росстата.</w:t>
            </w:r>
          </w:p>
        </w:tc>
      </w:tr>
      <w:tr>
        <w:trPr>
          <w:cantSplit w:val="false"/>
          <w:tblHeader w:val="false"/>
        </w:trPr>
        <w:tc>
          <w:tcPr>
            <w:tcW w:type="dxa" w:w="3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Кадастр отходов субъекта Российской Федерации</w:t>
            </w:r>
          </w:p>
        </w:tc>
        <w:tc>
          <w:tcPr>
            <w:tcW w:type="dxa" w:w="3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Региональное законодательство (Москва, Московская область и др.)</w:t>
            </w:r>
          </w:p>
        </w:tc>
        <w:tc>
          <w:tcPr>
            <w:tcW w:type="dxa" w:w="737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Отдельная региональная отчетность; состав и сроки устанавливаются субъектом Российской Федерации.</w:t>
            </w:r>
          </w:p>
        </w:tc>
      </w:tr>
    </w:tbl>
    <w:p>
      <w:pPr>
        <w:keepNext w:val="false"/>
        <w:keepLines w:val="false"/>
        <w:spacing w:after="0" w:before="0" w:line="240" w:lineRule="auto"/>
        <w:ind w:firstLine="709"/>
        <w:jc w:val="both"/>
      </w:pPr>
    </w:p>
    <w:p>
      <w:pPr>
        <w:keepNext w:val="false"/>
        <w:keepLines w:val="false"/>
        <w:spacing w:after="60" w:before="0" w:line="240" w:lineRule="auto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Конкретный состав обязанностей зависит от категории объекта НВОС, наличия зуботехнической лаборатории и рентгеновского оборудования, объема образующихся отходов и региона. Категорию и перечень требуемых документов определяют по фактическим источникам воздействия — это отдельная работа, которую выполняет специалист по экологии.</w:t>
      </w:r>
    </w:p>
    <w:p>
      <w:pPr>
        <w:sectPr>
          <w:footerReference w:type="default" r:id="rId8"/>
          <w:pgSz w:w="16838" w:h="11906" w:orient="landscape"/>
          <w:pgMar w:top="1134" w:right="1134" w:bottom="1134" w:left="1134" w:header="708" w:footer="708" w:gutter="0"/>
          <w:pgNumType/>
          <w:docGrid w:linePitch="360"/>
        </w:sectPr>
      </w:pPr>
    </w:p>
    <w:p>
      <w:pPr>
        <w:keepNext/>
        <w:keepLines w:val="false"/>
        <w:spacing w:after="60" w:before="0" w:line="240" w:lineRule="auto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ПОМОЩЬ В ОФОРМЛЕНИИ ЭКОЛОГИЧЕСКОЙ ДОКУМЕНТАЦИИ</w:t>
      </w:r>
    </w:p>
    <w:p>
      <w:pPr>
        <w:keepNext w:val="false"/>
        <w:keepLines w:val="false"/>
        <w:spacing w:after="120" w:before="0" w:line="240" w:lineRule="auto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ООО «Эко-Тева» — экологические услуги, отчетность, сопровождение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600"/>
        <w:gridCol w:w="7038"/>
      </w:tblGrid>
      <w:tr>
        <w:trPr>
          <w:cantSplit w:val="false"/>
          <w:tblHeader w:val="false"/>
        </w:trP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+7 (985) 711-99-96</w:t>
            </w:r>
          </w:p>
        </w:tc>
      </w:tr>
      <w:tr>
        <w:trPr>
          <w:cantSplit w:val="false"/>
          <w:tblHeader w:val="false"/>
        </w:trP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Электронная почта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info@eco-teva.ru</w:t>
            </w:r>
          </w:p>
        </w:tc>
      </w:tr>
      <w:tr>
        <w:trPr>
          <w:cantSplit w:val="false"/>
          <w:tblHeader w:val="false"/>
        </w:trP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Сайт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eco-teva.ru</w:t>
            </w:r>
          </w:p>
        </w:tc>
      </w:tr>
      <w:tr>
        <w:trPr>
          <w:cantSplit w:val="false"/>
          <w:tblHeader w:val="false"/>
        </w:trP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Мессенджеры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WhatsApp, Telegram @EcoTeva, ВКонтакте</w:t>
            </w:r>
          </w:p>
        </w:tc>
      </w:tr>
      <w:tr>
        <w:trPr>
          <w:cantSplit w:val="false"/>
          <w:tblHeader w:val="false"/>
        </w:trP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Время работы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по рабочим дням с 10:00 до 18:00</w:t>
            </w:r>
          </w:p>
        </w:tc>
      </w:tr>
      <w:tr>
        <w:trPr>
          <w:cantSplit w:val="false"/>
          <w:tblHeader w:val="false"/>
        </w:trP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Офис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Московская область, г. Щёлково</w:t>
            </w:r>
          </w:p>
        </w:tc>
      </w:tr>
    </w:tbl>
    <w:p>
      <w:pPr>
        <w:keepNext w:val="false"/>
        <w:keepLines w:val="false"/>
        <w:spacing w:after="0" w:before="0" w:line="240" w:lineRule="auto"/>
        <w:ind w:firstLine="709"/>
        <w:jc w:val="both"/>
      </w:pPr>
    </w:p>
    <w:p>
      <w:pPr>
        <w:keepNext w:val="false"/>
        <w:keepLines w:val="false"/>
        <w:spacing w:after="60" w:before="0" w:line="240" w:lineRule="auto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Если в клинике нет штатного специалиста по экологии, эту работу разумнее передать на сопровождение: экологическая отчетность сдается по формам, которые меняются почти каждый год, а ошибка в категории объекта или пропущенный срок отчета обходятся дороже, чем сопровождение.</w:t>
      </w:r>
    </w:p>
    <w:p>
      <w:pPr>
        <w:keepNext w:val="false"/>
        <w:keepLines w:val="false"/>
        <w:spacing w:after="60" w:before="0" w:line="240" w:lineRule="auto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ООО «Эко-Тева»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ведет экологию предприятий «под ключ»: от определения категории объекта и постановки на учет до сдачи отчетности и сопровождения проверок. Более 150 услуг в области экологии; в 99 % случаев документы согласуются с первого раза.</w:t>
      </w:r>
    </w:p>
    <w:p>
      <w:pPr>
        <w:keepNext w:val="false"/>
        <w:keepLines w:val="false"/>
        <w:spacing w:after="0" w:before="0" w:line="240" w:lineRule="auto"/>
        <w:ind w:firstLine="709"/>
        <w:jc w:val="both"/>
      </w:pPr>
    </w:p>
    <w:p>
      <w:pPr>
        <w:keepNext/>
        <w:keepLines w:val="false"/>
        <w:spacing w:after="60" w:before="0" w:line="240" w:lineRule="auto"/>
        <w:ind w:firstLine="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Что можно заказать</w:t>
      </w:r>
    </w:p>
    <w:tbl>
      <w:tblPr>
        <w:tblW w:type="dxa" w:w="9638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2600"/>
        <w:gridCol w:w="7038"/>
      </w:tblGrid>
      <w:tr>
        <w:trPr>
          <w:cantSplit/>
          <w:tblHeader/>
        </w:trPr>
        <w:tc>
          <w:tcPr>
            <w:tcW w:type="dxa" w:w="2600"/>
            <w:shd w:fill="F2F2F2" w:color="auto" w:val="clear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keepNext w:val="false"/>
              <w:spacing w:after="0" w:before="0" w:line="24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Направление</w:t>
            </w:r>
          </w:p>
        </w:tc>
        <w:tc>
          <w:tcPr>
            <w:tcW w:type="dxa" w:w="7038"/>
            <w:shd w:fill="F2F2F2" w:color="auto" w:val="clear"/>
            <w:tcMar>
              <w:top w:type="dxa" w:w="30"/>
              <w:left w:type="dxa" w:w="70"/>
              <w:bottom w:type="dxa" w:w="30"/>
              <w:right w:type="dxa" w:w="70"/>
            </w:tcMar>
            <w:vAlign w:val="center"/>
          </w:tcPr>
          <w:p>
            <w:pPr>
              <w:keepNext w:val="false"/>
              <w:spacing w:after="0" w:before="0" w:line="24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Услуги</w:t>
            </w:r>
          </w:p>
        </w:tc>
      </w:tr>
      <w:tr>
        <w:trPr>
          <w:cantSplit w:val="false"/>
          <w:tblHeader w:val="false"/>
        </w:trPr>
        <w:tc>
          <w:tcPr>
            <w:tcW w:type="dxa" w:w="2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Проектирование</w:t>
            </w:r>
          </w:p>
        </w:tc>
        <w:tc>
          <w:tcPr>
            <w:tcW w:type="dxa" w:w="7038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Проект нормативов допустимых выбросов (НДВ); проект нормативов образования отходов и лимитов на их размещение (ПНООЛР); инвентаризация выбросов загрязняющих веществ в атмосферный воздух; инвентаризация отходов производства и потребления; проект мероприятий при неблагоприятных метеорологических условиях (НМУ)</w:t>
            </w:r>
          </w:p>
        </w:tc>
      </w:tr>
      <w:tr>
        <w:trPr>
          <w:cantSplit w:val="false"/>
          <w:tblHeader w:val="false"/>
        </w:trPr>
        <w:tc>
          <w:tcPr>
            <w:tcW w:type="dxa" w:w="2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Разрешительная документация</w:t>
            </w:r>
          </w:p>
        </w:tc>
        <w:tc>
          <w:tcPr>
            <w:tcW w:type="dxa" w:w="7038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Постановка объектов на государственный учет объектов НВОС (I–IV категории) и актуализация сведений; разработка паспортов отходов I–IV классов опасности; программа производственного экологического контроля (ПЭК); декларация о воздействии на окружающую среду (ДВОС) для объектов II категории; паспорт газоочистной установки (ГОУ); экологическая документация для СНТ и ГСК</w:t>
            </w:r>
          </w:p>
        </w:tc>
      </w:tr>
      <w:tr>
        <w:trPr>
          <w:cantSplit w:val="false"/>
          <w:tblHeader w:val="false"/>
        </w:trPr>
        <w:tc>
          <w:tcPr>
            <w:tcW w:type="dxa" w:w="2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Экологическая отчетность</w:t>
            </w:r>
          </w:p>
        </w:tc>
        <w:tc>
          <w:tcPr>
            <w:tcW w:type="dxa" w:w="7038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Декларация о плате за негативное воздействие на окружающую среду; формы 2-ТП (отходы), 2-ТП (воздух), 2-Медотходы; отчет об организации и о результатах осуществления производственного экологического контроля; журнал учета в области обращения с отходами; кадастр отходов Москвы и Московской области; отчетность по расширенной ответственности производителей (РОП) и экологическому сбору</w:t>
            </w:r>
          </w:p>
        </w:tc>
      </w:tr>
      <w:tr>
        <w:trPr>
          <w:cantSplit w:val="false"/>
          <w:tblHeader w:val="false"/>
        </w:trPr>
        <w:tc>
          <w:tcPr>
            <w:tcW w:type="dxa" w:w="2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Экологическое сопровождение</w:t>
            </w:r>
          </w:p>
        </w:tc>
        <w:tc>
          <w:tcPr>
            <w:tcW w:type="dxa" w:w="7038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Экологический аутсорсинг (ведение экологии предприятия «под ключ»); экологический аудит; подготовка к проверкам Росприроднадзора и Роспотребнадзора, сопровождение проверок; заключение договора с федеральным оператором (ФЭО) и сопровождение работы во ФГИС ОПВК; консультации по обращению с отходами и отчетности</w:t>
            </w:r>
          </w:p>
        </w:tc>
      </w:tr>
      <w:tr>
        <w:trPr>
          <w:cantSplit w:val="false"/>
          <w:tblHeader w:val="false"/>
        </w:trPr>
        <w:tc>
          <w:tcPr>
            <w:tcW w:type="dxa" w:w="2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Лабораторные работы</w:t>
            </w:r>
          </w:p>
        </w:tc>
        <w:tc>
          <w:tcPr>
            <w:tcW w:type="dxa" w:w="7038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keepNext w:val="false"/>
              <w:spacing w:after="0" w:before="0" w:line="24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Протоколы количественного химического анализа (КХА) выбросов и отходов; замеры на границе санитарно-защитной зоны (СЗЗ)</w:t>
            </w:r>
          </w:p>
        </w:tc>
      </w:tr>
    </w:tbl>
    <w:p>
      <w:pPr>
        <w:keepNext w:val="false"/>
        <w:keepLines w:val="false"/>
        <w:spacing w:after="0" w:before="0" w:line="240" w:lineRule="auto"/>
        <w:ind w:firstLine="709"/>
        <w:jc w:val="both"/>
      </w:pPr>
    </w:p>
    <w:p>
      <w:pPr>
        <w:keepNext/>
        <w:keepLines w:val="false"/>
        <w:spacing w:after="60" w:before="0" w:line="240" w:lineRule="auto"/>
        <w:ind w:firstLine="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Как это обычно устроено</w:t>
      </w:r>
    </w:p>
    <w:p>
      <w:pPr>
        <w:keepNext w:val="false"/>
        <w:keepLines w:val="false"/>
        <w:spacing w:after="60" w:before="0" w:line="240" w:lineRule="auto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а) вы звоните или пишете, коротко описываете клинику: адрес, площадь, наличие зуботехнической лаборатории, рентгеновского оборудования, вентиляции, число работников;</w:t>
      </w:r>
    </w:p>
    <w:p>
      <w:pPr>
        <w:keepNext w:val="false"/>
        <w:keepLines w:val="false"/>
        <w:spacing w:after="60" w:before="0" w:line="240" w:lineRule="auto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б) специалист определяет категорию объекта НВОС и составляет перечень документов и отчетов, которые вам действительно нужны (часто он короче, чем кажется);</w:t>
      </w:r>
    </w:p>
    <w:p>
      <w:pPr>
        <w:keepNext w:val="false"/>
        <w:keepLines w:val="false"/>
        <w:spacing w:after="60" w:before="0" w:line="240" w:lineRule="auto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в) вы получаете смету и сроки; при сопровождении — календарь отчетности на год;</w:t>
      </w:r>
    </w:p>
    <w:p>
      <w:pPr>
        <w:keepNext w:val="false"/>
        <w:keepLines w:val="false"/>
        <w:spacing w:after="60" w:before="0" w:line="240" w:lineRule="auto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г) документы разрабатываются и подаются в надзорные органы, отчетность сдается в срок, при проверке вас сопровождают.</w:t>
      </w:r>
    </w:p>
    <w:p>
      <w:pPr>
        <w:keepNext w:val="false"/>
        <w:keepLines w:val="false"/>
        <w:spacing w:after="0" w:before="0" w:line="240" w:lineRule="auto"/>
        <w:ind w:firstLine="709"/>
        <w:jc w:val="both"/>
      </w:pPr>
    </w:p>
    <w:p>
      <w:pPr>
        <w:keepNext w:val="false"/>
        <w:keepLines w:val="false"/>
        <w:spacing w:after="60" w:before="0" w:line="240" w:lineRule="auto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Первая консультация и определение перечня необходимых документов — бесплатно. Позвоните по телефону +7 (985) 711-99-96 или напишите на info@eco-teva.ru — скажите, что вы из стоматологической клиники и получили комплект документов по охране труда.</w:t>
      </w:r>
    </w:p>
    <w:p>
      <w:pPr>
        <w:keepNext w:val="false"/>
        <w:keepLines w:val="false"/>
        <w:spacing w:after="0" w:before="0" w:line="240" w:lineRule="auto"/>
        <w:ind w:firstLine="709"/>
        <w:jc w:val="both"/>
      </w:pPr>
    </w:p>
    <w:p>
      <w:pPr>
        <w:keepNext w:val="false"/>
        <w:keepLines w:val="false"/>
        <w:spacing w:after="60" w:before="0" w:line="240" w:lineRule="auto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Настоящая страница является информационной. Услуги оказываются на основании отдельного договора; состав и стоимость определяются по результатам оценки объекта.</w:t>
      </w:r>
    </w:p>
    <w:sectPr>
      <w:footerReference w:type="default" r:id="rId9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cs="Times New Roman" w:eastAsia="Times New Roman" w:hAnsi="Times New Roman"/>
        <w:b/>
        <w:bCs/>
      </w:rPr>
    </w:lvl>
    <w:lvl w:ilvl="1" w15:tentative="1">
      <w:start w:val="1"/>
      <w:numFmt w:val="decimal"/>
      <w:suff w:val="space"/>
      <w:lvlText w:val="%1.%2."/>
      <w:lvlJc w:val="left"/>
      <w:pPr>
        <w:ind w:left="0" w:firstLine="709"/>
      </w:pPr>
      <w:rPr>
        <w:rFonts w:ascii="Times New Roman" w:cs="Times New Roman" w:eastAsia="Times New Roman" w:hAnsi="Times New Roman"/>
        <w:b w:val="false"/>
        <w:bCs w:val="false"/>
      </w:rPr>
    </w:lvl>
    <w:lvl w:ilvl="2" w15:tentative="1">
      <w:start w:val="1"/>
      <w:numFmt w:val="decimal"/>
      <w:suff w:val="space"/>
      <w:lvlText w:val="%1.%2.%3."/>
      <w:lvlJc w:val="left"/>
      <w:pPr>
        <w:ind w:left="0" w:firstLine="709"/>
      </w:pPr>
      <w:rPr>
        <w:rFonts w:ascii="Times New Roman" w:cs="Times New Roman" w:eastAsia="Times New Roman" w:hAnsi="Times New Roman"/>
        <w:b w:val="false"/>
        <w:bCs w:val="false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cs="Times New Roman" w:eastAsia="Times New Roman" w:hAnsi="Times New Roman"/>
        <w:b w:val="false"/>
        <w:bCs w:val="false"/>
      </w:rPr>
    </w:lvl>
    <w:lvl w:ilvl="1" w15:tentative="1">
      <w:start w:val="1"/>
      <w:numFmt w:val="decimal"/>
      <w:suff w:val="space"/>
      <w:lvlText w:val="%1.%2."/>
      <w:lvlJc w:val="left"/>
      <w:pPr>
        <w:ind w:left="0" w:firstLine="709"/>
      </w:pPr>
      <w:rPr>
        <w:rFonts w:ascii="Times New Roman" w:cs="Times New Roman" w:eastAsia="Times New Roman" w:hAnsi="Times New Roman"/>
        <w:b w:val="false"/>
        <w:bCs w:val="false"/>
      </w:rPr>
    </w:lvl>
    <w:lvl w:ilvl="2" w15:tentative="1">
      <w:start w:val="1"/>
      <w:numFmt w:val="decimal"/>
      <w:suff w:val="space"/>
      <w:lvlText w:val="%1.%2.%3."/>
      <w:lvlJc w:val="left"/>
      <w:pPr>
        <w:ind w:left="0" w:firstLine="709"/>
      </w:pPr>
      <w:rPr>
        <w:rFonts w:ascii="Times New Roman" w:cs="Times New Roman" w:eastAsia="Times New Roman" w:hAnsi="Times New Roman"/>
        <w:b w:val="false"/>
        <w:bCs w:val="false"/>
      </w:rPr>
    </w:lvl>
  </w:abstractNum>
  <w:abstractNum w:abstractNumId="4" w15:restartNumberingAfterBreak="0">
    <w:multiLevelType w:val="hybridMultilevel"/>
    <w:lvl w:ilvl="0" w15:tentative="1">
      <w:start w:val="1"/>
      <w:numFmt w:val="bullet"/>
      <w:suff w:val="space"/>
      <w:lvlText w:val="–"/>
      <w:lvlJc w:val="left"/>
      <w:pPr>
        <w:ind w:left="0" w:firstLine="709"/>
      </w:pPr>
      <w:rPr>
        <w:rFonts w:ascii="Times New Roman" w:cs="Times New Roman" w:eastAsia="Times New Roman" w:hAnsi="Times New Roman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Экологические обязанности стоматологической клиники</dc:title>
  <dc:creator>Комплект документов для стоматологии</dc:creator>
  <dc:description>Экологические обязанности стоматологической клиники (памятка)</dc:description>
  <cp:lastModifiedBy>Un-named</cp:lastModifiedBy>
  <cp:revision>1</cp:revision>
  <dcterms:created xsi:type="dcterms:W3CDTF">2026-09-22T16:15:53.886Z</dcterms:created>
  <dcterms:modified xsi:type="dcterms:W3CDTF">2026-09-22T16:15:53.886Z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